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EA" w:rsidRPr="007F2CEA" w:rsidRDefault="007F2CEA" w:rsidP="007F2CEA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Cs w:val="24"/>
          <w:lang w:eastAsia="tr-TR"/>
        </w:rPr>
      </w:pPr>
      <w:r w:rsidRPr="007F2CEA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 xml:space="preserve">MEVKA tarafından </w:t>
      </w:r>
      <w:r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>25</w:t>
      </w:r>
      <w:r w:rsidRPr="007F2CEA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>.0</w:t>
      </w:r>
      <w:r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>3</w:t>
      </w:r>
      <w:r w:rsidRPr="007F2CEA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>.201</w:t>
      </w:r>
      <w:r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>3</w:t>
      </w:r>
      <w:r w:rsidRPr="007F2CEA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 xml:space="preserve"> tarihinde yayımlanan ve TR52-1</w:t>
      </w:r>
      <w:r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>3</w:t>
      </w:r>
      <w:r w:rsidRPr="007F2CEA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>-TD Referans Numaralı Çağrı</w:t>
      </w:r>
    </w:p>
    <w:p w:rsidR="007F2CEA" w:rsidRPr="007F2CEA" w:rsidRDefault="007F2CEA" w:rsidP="007F2CEA">
      <w:pPr>
        <w:spacing w:line="240" w:lineRule="auto"/>
        <w:jc w:val="center"/>
        <w:rPr>
          <w:rFonts w:ascii="Calibri" w:eastAsia="Times New Roman" w:hAnsi="Calibri" w:cs="Times New Roman"/>
          <w:color w:val="000000" w:themeColor="text1"/>
          <w:szCs w:val="24"/>
          <w:lang w:eastAsia="tr-TR"/>
        </w:rPr>
      </w:pPr>
      <w:r w:rsidRPr="007F2CEA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  <w:t>DÜZELTME – I</w:t>
      </w:r>
    </w:p>
    <w:p w:rsidR="007F2CEA" w:rsidRPr="007F2CEA" w:rsidRDefault="007F2CEA" w:rsidP="007F2CEA">
      <w:pPr>
        <w:spacing w:line="240" w:lineRule="auto"/>
        <w:jc w:val="both"/>
        <w:rPr>
          <w:rFonts w:ascii="Calibri" w:eastAsia="Times New Roman" w:hAnsi="Calibri" w:cs="Times New Roman"/>
          <w:color w:val="000000" w:themeColor="text1"/>
          <w:szCs w:val="24"/>
          <w:lang w:eastAsia="tr-TR"/>
        </w:rPr>
      </w:pPr>
      <w:r w:rsidRPr="007F2CEA">
        <w:rPr>
          <w:rFonts w:ascii="Calibri" w:eastAsia="Times New Roman" w:hAnsi="Calibri" w:cs="Times New Roman"/>
          <w:color w:val="000000" w:themeColor="text1"/>
          <w:szCs w:val="24"/>
          <w:lang w:eastAsia="tr-TR"/>
        </w:rPr>
        <w:t>201</w:t>
      </w:r>
      <w:r>
        <w:rPr>
          <w:rFonts w:ascii="Calibri" w:eastAsia="Times New Roman" w:hAnsi="Calibri" w:cs="Times New Roman"/>
          <w:color w:val="000000" w:themeColor="text1"/>
          <w:szCs w:val="24"/>
          <w:lang w:eastAsia="tr-TR"/>
        </w:rPr>
        <w:t>3</w:t>
      </w:r>
      <w:r w:rsidRPr="007F2CEA">
        <w:rPr>
          <w:rFonts w:ascii="Calibri" w:eastAsia="Times New Roman" w:hAnsi="Calibri" w:cs="Times New Roman"/>
          <w:color w:val="000000" w:themeColor="text1"/>
          <w:szCs w:val="24"/>
          <w:lang w:eastAsia="tr-TR"/>
        </w:rPr>
        <w:t xml:space="preserve"> Teknik Destek Rehberinde aşağıdaki şekilde değişiklik yapılmıştır.</w:t>
      </w:r>
    </w:p>
    <w:p w:rsidR="00BB4189" w:rsidRDefault="00BB4189" w:rsidP="007F2CEA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tr-TR"/>
        </w:rPr>
      </w:pPr>
    </w:p>
    <w:p w:rsidR="007F2CEA" w:rsidRDefault="007F2CEA" w:rsidP="007F2CEA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tr-TR"/>
        </w:rPr>
      </w:pPr>
      <w:r w:rsidRPr="007F2CEA"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tr-TR"/>
        </w:rPr>
        <w:t>Önceki Hali:</w:t>
      </w:r>
    </w:p>
    <w:p w:rsidR="007F2CEA" w:rsidRPr="007F2CEA" w:rsidRDefault="00BB4189" w:rsidP="00BB4189">
      <w:pPr>
        <w:shd w:val="clear" w:color="auto" w:fill="D9D9D9"/>
        <w:spacing w:line="240" w:lineRule="auto"/>
        <w:rPr>
          <w:rFonts w:ascii="Calibri" w:eastAsia="Times New Roman" w:hAnsi="Calibri" w:cs="Times New Roman"/>
          <w:color w:val="000000" w:themeColor="text1"/>
          <w:szCs w:val="24"/>
          <w:lang w:eastAsia="tr-TR"/>
        </w:rPr>
      </w:pPr>
      <w:bookmarkStart w:id="0" w:name="_Toc40507631"/>
      <w:r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tr-TR"/>
        </w:rPr>
        <w:tab/>
      </w:r>
      <w:r w:rsidR="007F2CEA" w:rsidRPr="007F2CEA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tr-TR"/>
        </w:rPr>
        <w:t xml:space="preserve">2.1.1. </w:t>
      </w:r>
      <w:bookmarkEnd w:id="0"/>
      <w:r w:rsidR="007F2CEA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tr-TR"/>
        </w:rPr>
        <w:t>Ön İnceleme</w:t>
      </w:r>
    </w:p>
    <w:p w:rsidR="00BB4189" w:rsidRPr="00BB4189" w:rsidRDefault="00BB4189" w:rsidP="00BB4189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tr-TR"/>
        </w:rPr>
      </w:pPr>
      <w:r w:rsidRPr="00BB4189">
        <w:rPr>
          <w:szCs w:val="24"/>
        </w:rPr>
        <w:t xml:space="preserve">Bu aşamada teknik destek başvurusunun, teknik destek talep formunun beş numaralı bölümünde yer alan Kontrol Listesindeki </w:t>
      </w:r>
      <w:proofErr w:type="gramStart"/>
      <w:r w:rsidRPr="00BB4189">
        <w:rPr>
          <w:szCs w:val="24"/>
        </w:rPr>
        <w:t>kriterleri</w:t>
      </w:r>
      <w:proofErr w:type="gramEnd"/>
      <w:r w:rsidRPr="00BB4189">
        <w:rPr>
          <w:szCs w:val="24"/>
        </w:rPr>
        <w:t xml:space="preserve"> karşılayıp karşılayamadığı değerlendirilecektir. Bu listede yer alan </w:t>
      </w:r>
      <w:proofErr w:type="gramStart"/>
      <w:r w:rsidRPr="00BB4189">
        <w:rPr>
          <w:szCs w:val="24"/>
        </w:rPr>
        <w:t>kriterlerden</w:t>
      </w:r>
      <w:proofErr w:type="gramEnd"/>
      <w:r w:rsidRPr="00BB4189">
        <w:rPr>
          <w:szCs w:val="24"/>
        </w:rPr>
        <w:t xml:space="preserve"> herhangi biri karşılanmıyorsa teknik destek başvurusu bu aşamadan sonra değerlendirilmeyecek ve reddedilecektir.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851"/>
        <w:gridCol w:w="850"/>
        <w:gridCol w:w="1134"/>
      </w:tblGrid>
      <w:tr w:rsidR="00BB4189" w:rsidRPr="00D31658" w:rsidTr="00BB4189">
        <w:trPr>
          <w:cantSplit/>
          <w:trHeight w:val="253"/>
        </w:trPr>
        <w:tc>
          <w:tcPr>
            <w:tcW w:w="6804" w:type="dxa"/>
            <w:shd w:val="clear" w:color="auto" w:fill="FDE9D9" w:themeFill="accent6" w:themeFillTint="33"/>
            <w:vAlign w:val="center"/>
          </w:tcPr>
          <w:p w:rsidR="00BB4189" w:rsidRPr="00D64F1A" w:rsidRDefault="00BB4189" w:rsidP="00C00FDE">
            <w:pPr>
              <w:rPr>
                <w:rFonts w:asciiTheme="majorHAnsi" w:hAnsiTheme="majorHAnsi"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 xml:space="preserve">UYGUNLUK KONTROL LİSTESİ </w:t>
            </w:r>
            <w:r w:rsidRPr="00D64F1A">
              <w:rPr>
                <w:rFonts w:asciiTheme="majorHAnsi" w:hAnsiTheme="majorHAnsi"/>
                <w:szCs w:val="24"/>
              </w:rPr>
              <w:t xml:space="preserve">(Uygunluk Kontrol Listesindeki </w:t>
            </w:r>
            <w:proofErr w:type="gramStart"/>
            <w:r w:rsidRPr="00D64F1A">
              <w:rPr>
                <w:rFonts w:asciiTheme="majorHAnsi" w:hAnsiTheme="majorHAnsi"/>
                <w:szCs w:val="24"/>
              </w:rPr>
              <w:t>kriterlerden</w:t>
            </w:r>
            <w:proofErr w:type="gramEnd"/>
            <w:r w:rsidRPr="00D64F1A">
              <w:rPr>
                <w:rFonts w:asciiTheme="majorHAnsi" w:hAnsiTheme="majorHAnsi"/>
                <w:szCs w:val="24"/>
              </w:rPr>
              <w:t xml:space="preserve"> herhangi biri karşılanmıyorsa teknik destek başvurusu bu aşamadan sonra </w:t>
            </w:r>
            <w:r w:rsidRPr="00D64F1A">
              <w:rPr>
                <w:rFonts w:asciiTheme="majorHAnsi" w:hAnsiTheme="majorHAnsi"/>
                <w:szCs w:val="24"/>
                <w:u w:val="single"/>
              </w:rPr>
              <w:t>değerlendirilmeyecek ve reddedilecektir</w:t>
            </w:r>
            <w:r w:rsidRPr="00D64F1A">
              <w:rPr>
                <w:rFonts w:asciiTheme="majorHAnsi" w:hAnsiTheme="majorHAnsi"/>
                <w:szCs w:val="24"/>
              </w:rPr>
              <w:t>).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B4189" w:rsidRPr="00D64F1A" w:rsidRDefault="00BB4189" w:rsidP="00C00F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Evet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B4189" w:rsidRPr="00D64F1A" w:rsidRDefault="00BB4189" w:rsidP="00C00F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Hayır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B4189" w:rsidRPr="00D64F1A" w:rsidRDefault="00BB4189" w:rsidP="00C00F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b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Gerekli Değil</w:t>
            </w: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1. Başvuru Sahibi ve ortakları uygundur.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2. Talep Formu standart formata uygun olarak hazırlanmış ve tüm ekleri eksiksiz şekilde sunulmuştur.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3. Teklif, bilgisayar ile Türkçe olarak hazırlanmıştır.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4. Başvuru, 1 (bir) asıl ve 2 (suret) ve elektronik kopya (CD/DVD) olarak aynı içerikte sunulmuştur.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5. Başvuru Sahibi ve ortağın destek sağlanan talep sayısı bir dönem içerisinde 1’i, aynı yıl içerisinde ise 2’yi geçmemektedir.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6. Teknik Desteğin süresi 1 (bir) ayı geçmemektedir.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7. Program kapsamında varsa Ajans’tan talep edilen geçici uzman görevlendirmesi 2 (iki) haftayı aşmamaktadır.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8. Talep Formu'nda yer alan Başvuru Sahibinin beyannamesi, Başvuru Sahibinin yetkili temsilcisi tarafından imzalanmıştır.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9. Ortaklık beyannamesi (ortak varsa) ortakların yetkili temsilcisi tarafından ayrı </w:t>
            </w:r>
            <w:proofErr w:type="spellStart"/>
            <w:r w:rsidRPr="007F2CEA">
              <w:t>ayrı</w:t>
            </w:r>
            <w:proofErr w:type="spellEnd"/>
            <w:r w:rsidRPr="007F2CEA">
              <w:t xml:space="preserve"> imzalanmıştır.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10. Yaklaşık Maliyet Formu Başvuru Sahibinin yetkili temsilcisi tarafından imzalanmıştır (PCM Eğitimi Talepleri Hariç).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11. Talep formu ve eklerin tüm sayfaları Başvuru Sahibinin yetkili temsilcisi tarafından paraflanmıştır. </w:t>
            </w:r>
          </w:p>
        </w:tc>
        <w:tc>
          <w:tcPr>
            <w:tcW w:w="851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12. Başvuru sahibinin TR52 Düzey 2 Bölgesinde kayıtlı ve faal olduğunu gösteren belgeler sunulmuştur (Kamu Kurumları Hariç).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13. Başvuru Sahibi ve varsa ortağına ait imza sirküleri ya da (kamu kurumları için) onaylı tatbiki imza sunulmuştur.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t xml:space="preserve">14. Talep edilen konu ile ilgili en az 3 (üç) fiyat teklifi ve uzman özgeçmişleri sunulmuştur (PCM Eğitimi Talepleri Hariç).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  <w:tr w:rsidR="00BB4189" w:rsidRPr="00D31658" w:rsidTr="00BB4189">
        <w:trPr>
          <w:cantSplit/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9" w:rsidRPr="007F2CEA" w:rsidRDefault="00BB4189" w:rsidP="00C00FDE">
            <w:pPr>
              <w:pStyle w:val="AralkYok"/>
            </w:pPr>
            <w:r w:rsidRPr="007F2CEA">
              <w:lastRenderedPageBreak/>
              <w:t xml:space="preserve">15. Teknik destek faaliyetlerinde teknik desteğin kapsamının açıklandığı 'detaylı' bir Teknik Şartname sunulmuştur (PCM Eğitimi Talepleri Hariç).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89" w:rsidRPr="007F2CEA" w:rsidRDefault="00BB4189" w:rsidP="00C00FDE">
            <w:pPr>
              <w:pStyle w:val="AralkYok"/>
            </w:pPr>
          </w:p>
        </w:tc>
      </w:tr>
    </w:tbl>
    <w:p w:rsidR="00BB4189" w:rsidRDefault="00BB4189" w:rsidP="007F2CEA">
      <w:pPr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tr-TR"/>
        </w:rPr>
      </w:pPr>
    </w:p>
    <w:p w:rsidR="007F2CEA" w:rsidRPr="007F2CEA" w:rsidRDefault="007F2CEA" w:rsidP="007F2CEA">
      <w:pPr>
        <w:spacing w:line="240" w:lineRule="auto"/>
        <w:rPr>
          <w:rFonts w:ascii="Calibri" w:eastAsia="Times New Roman" w:hAnsi="Calibri" w:cs="Times New Roman"/>
          <w:color w:val="000000" w:themeColor="text1"/>
          <w:szCs w:val="24"/>
          <w:lang w:eastAsia="tr-TR"/>
        </w:rPr>
      </w:pPr>
      <w:r w:rsidRPr="007F2CEA"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tr-TR"/>
        </w:rPr>
        <w:t>Son Hali:</w:t>
      </w:r>
    </w:p>
    <w:p w:rsidR="007F2CEA" w:rsidRPr="007F2CEA" w:rsidRDefault="00BB4189" w:rsidP="00BB4189">
      <w:pPr>
        <w:shd w:val="clear" w:color="auto" w:fill="D9D9D9"/>
        <w:spacing w:line="240" w:lineRule="auto"/>
        <w:rPr>
          <w:rFonts w:ascii="Calibri" w:eastAsia="Times New Roman" w:hAnsi="Calibri" w:cs="Times New Roman"/>
          <w:color w:val="000000" w:themeColor="text1"/>
          <w:szCs w:val="24"/>
          <w:lang w:eastAsia="tr-TR"/>
        </w:rPr>
      </w:pPr>
      <w:r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tr-TR"/>
        </w:rPr>
        <w:tab/>
      </w:r>
      <w:r w:rsidR="007F2CEA" w:rsidRPr="007F2CEA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tr-TR"/>
        </w:rPr>
        <w:t xml:space="preserve">2.1.1. </w:t>
      </w:r>
      <w:r w:rsidR="007F2CEA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tr-TR"/>
        </w:rPr>
        <w:t>Ön İnceleme</w:t>
      </w:r>
    </w:p>
    <w:p w:rsidR="00BB4189" w:rsidRPr="00BB4189" w:rsidRDefault="00BB4189" w:rsidP="00BB4189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tr-TR"/>
        </w:rPr>
      </w:pPr>
      <w:r w:rsidRPr="00BB4189">
        <w:rPr>
          <w:szCs w:val="24"/>
        </w:rPr>
        <w:t xml:space="preserve">Bu aşamada teknik destek başvurusunun, </w:t>
      </w:r>
      <w:r w:rsidRPr="00BB4189">
        <w:rPr>
          <w:rFonts w:asciiTheme="majorHAnsi" w:hAnsiTheme="majorHAnsi"/>
          <w:b/>
          <w:szCs w:val="24"/>
        </w:rPr>
        <w:t>Uygunluk Kontrol Listesi</w:t>
      </w:r>
      <w:r w:rsidRPr="00BB4189">
        <w:rPr>
          <w:szCs w:val="24"/>
        </w:rPr>
        <w:t xml:space="preserve">’ndeki </w:t>
      </w:r>
      <w:proofErr w:type="gramStart"/>
      <w:r w:rsidRPr="00BB4189">
        <w:rPr>
          <w:rFonts w:asciiTheme="majorHAnsi" w:hAnsiTheme="majorHAnsi"/>
          <w:szCs w:val="24"/>
        </w:rPr>
        <w:t>kriterlerden</w:t>
      </w:r>
      <w:proofErr w:type="gramEnd"/>
      <w:r w:rsidRPr="00BB4189">
        <w:rPr>
          <w:rFonts w:asciiTheme="majorHAnsi" w:hAnsiTheme="majorHAnsi"/>
          <w:szCs w:val="24"/>
        </w:rPr>
        <w:t xml:space="preserve"> herhangi biri karşılanmıyorsa teknik destek başvurusu bu aşamadan sonra </w:t>
      </w:r>
      <w:r w:rsidRPr="00BB4189">
        <w:rPr>
          <w:rFonts w:asciiTheme="majorHAnsi" w:hAnsiTheme="majorHAnsi"/>
          <w:szCs w:val="24"/>
          <w:u w:val="single"/>
        </w:rPr>
        <w:t>değerlendirilmeyecek ve reddedilecektir</w:t>
      </w:r>
      <w:r w:rsidRPr="00BB4189">
        <w:rPr>
          <w:rFonts w:asciiTheme="majorHAnsi" w:hAnsiTheme="majorHAnsi"/>
          <w:szCs w:val="24"/>
          <w:u w:val="single"/>
        </w:rPr>
        <w:t>.</w:t>
      </w:r>
      <w:r w:rsidRPr="00BB4189">
        <w:rPr>
          <w:rFonts w:asciiTheme="majorHAnsi" w:hAnsiTheme="majorHAnsi"/>
          <w:szCs w:val="24"/>
        </w:rPr>
        <w:t xml:space="preserve">  </w:t>
      </w:r>
      <w:r w:rsidRPr="00BB4189">
        <w:rPr>
          <w:rFonts w:asciiTheme="majorHAnsi" w:hAnsiTheme="majorHAnsi"/>
          <w:b/>
          <w:szCs w:val="24"/>
        </w:rPr>
        <w:t>İdari Kontrol Listesi</w:t>
      </w:r>
      <w:r w:rsidRPr="00BB4189">
        <w:rPr>
          <w:rFonts w:asciiTheme="majorHAnsi" w:hAnsiTheme="majorHAnsi"/>
          <w:szCs w:val="24"/>
        </w:rPr>
        <w:t>’ndeki</w:t>
      </w:r>
      <w:r w:rsidRPr="00BB4189">
        <w:rPr>
          <w:rFonts w:asciiTheme="majorHAnsi" w:hAnsiTheme="majorHAnsi"/>
          <w:szCs w:val="24"/>
        </w:rPr>
        <w:t xml:space="preserve"> </w:t>
      </w:r>
      <w:proofErr w:type="gramStart"/>
      <w:r w:rsidRPr="00BB4189">
        <w:rPr>
          <w:rFonts w:asciiTheme="majorHAnsi" w:hAnsiTheme="majorHAnsi"/>
          <w:szCs w:val="24"/>
        </w:rPr>
        <w:t>kriterlerden</w:t>
      </w:r>
      <w:proofErr w:type="gramEnd"/>
      <w:r w:rsidRPr="00BB4189">
        <w:rPr>
          <w:rFonts w:asciiTheme="majorHAnsi" w:hAnsiTheme="majorHAnsi"/>
          <w:szCs w:val="24"/>
        </w:rPr>
        <w:t xml:space="preserve"> herhangi birine eksiklik bulunması halinde 5 (beş) iş günü içerisinde tamamlanması gerekir.  Tamamlanmadığı takdirde Teknik D</w:t>
      </w:r>
      <w:r w:rsidRPr="00BB4189">
        <w:rPr>
          <w:rFonts w:asciiTheme="majorHAnsi" w:hAnsiTheme="majorHAnsi"/>
          <w:szCs w:val="24"/>
        </w:rPr>
        <w:t>estek başvurusu reddedilecektir</w:t>
      </w:r>
      <w:r w:rsidRPr="00BB4189">
        <w:rPr>
          <w:rFonts w:asciiTheme="majorHAnsi" w:hAnsiTheme="majorHAnsi"/>
          <w:szCs w:val="24"/>
        </w:rPr>
        <w:t>.</w:t>
      </w:r>
    </w:p>
    <w:tbl>
      <w:tblPr>
        <w:tblW w:w="9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714"/>
        <w:gridCol w:w="851"/>
        <w:gridCol w:w="992"/>
      </w:tblGrid>
      <w:tr w:rsidR="00BB4189" w:rsidRPr="00D31658" w:rsidTr="00BB4189">
        <w:trPr>
          <w:cantSplit/>
          <w:trHeight w:val="1298"/>
        </w:trPr>
        <w:tc>
          <w:tcPr>
            <w:tcW w:w="7371" w:type="dxa"/>
            <w:shd w:val="clear" w:color="auto" w:fill="FBD4B4" w:themeFill="accent6" w:themeFillTint="66"/>
            <w:vAlign w:val="center"/>
          </w:tcPr>
          <w:p w:rsidR="00BB4189" w:rsidRPr="00D64F1A" w:rsidRDefault="00BB4189" w:rsidP="00946C0B">
            <w:pPr>
              <w:spacing w:line="240" w:lineRule="auto"/>
              <w:rPr>
                <w:rFonts w:asciiTheme="majorHAnsi" w:hAnsiTheme="majorHAnsi"/>
                <w:b/>
                <w:szCs w:val="24"/>
              </w:rPr>
            </w:pPr>
            <w:r w:rsidRPr="00D64F1A">
              <w:rPr>
                <w:rFonts w:asciiTheme="majorHAnsi" w:hAnsiTheme="majorHAnsi"/>
                <w:b/>
                <w:sz w:val="28"/>
                <w:szCs w:val="24"/>
              </w:rPr>
              <w:t xml:space="preserve">PROJENİZİ GÖNDERMEDEN ÖNCE, AŞAĞIDAKİ MADDELERİN HER BİRİNİN TAMAMLANDIĞINI VE BAŞVURUNUZUN AŞAĞIDAKİ KRİTERLERE UYGUN OLDUĞUNU KONTROL EDİNİZ  </w:t>
            </w:r>
            <w:r w:rsidRPr="00D64F1A"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D64F1A">
              <w:rPr>
                <w:rFonts w:asciiTheme="majorHAnsi" w:hAnsiTheme="majorHAnsi"/>
                <w:szCs w:val="24"/>
              </w:rPr>
              <w:t>(Lütfen Bütün kutucukların Doldurulduğundan emin olunuz).</w:t>
            </w:r>
          </w:p>
        </w:tc>
        <w:tc>
          <w:tcPr>
            <w:tcW w:w="2557" w:type="dxa"/>
            <w:gridSpan w:val="3"/>
            <w:shd w:val="clear" w:color="auto" w:fill="FBD4B4" w:themeFill="accent6" w:themeFillTint="66"/>
          </w:tcPr>
          <w:p w:rsidR="00BB4189" w:rsidRPr="00D64F1A" w:rsidRDefault="00BB4189" w:rsidP="00946C0B">
            <w:pPr>
              <w:framePr w:hSpace="180" w:wrap="around" w:vAnchor="page" w:hAnchor="margin" w:xAlign="center" w:y="1419"/>
              <w:tabs>
                <w:tab w:val="left" w:pos="-284"/>
              </w:tabs>
              <w:spacing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BB4189" w:rsidRPr="00D64F1A" w:rsidRDefault="00BB4189" w:rsidP="00946C0B">
            <w:pPr>
              <w:framePr w:hSpace="180" w:wrap="around" w:vAnchor="page" w:hAnchor="margin" w:xAlign="center" w:y="1419"/>
              <w:tabs>
                <w:tab w:val="left" w:pos="-284"/>
              </w:tabs>
              <w:spacing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Başvuru Sahibi tarafından doldurulacak</w:t>
            </w:r>
          </w:p>
          <w:p w:rsidR="00BB4189" w:rsidRPr="00D64F1A" w:rsidRDefault="00BB4189" w:rsidP="00946C0B">
            <w:pPr>
              <w:pStyle w:val="GvdeMetni2"/>
              <w:framePr w:wrap="around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64F1A">
              <w:rPr>
                <w:rFonts w:asciiTheme="majorHAnsi" w:hAnsiTheme="majorHAnsi"/>
                <w:b w:val="0"/>
                <w:noProof/>
                <w:snapToGrid/>
                <w:sz w:val="24"/>
                <w:szCs w:val="24"/>
                <w:lang w:eastAsia="tr-TR"/>
              </w:rPr>
              <w:drawing>
                <wp:inline distT="0" distB="0" distL="0" distR="0">
                  <wp:extent cx="122555" cy="122555"/>
                  <wp:effectExtent l="19050" t="0" r="0" b="0"/>
                  <wp:docPr id="4" name="Resim 1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189" w:rsidRPr="00D31658" w:rsidTr="00BB4189">
        <w:trPr>
          <w:cantSplit/>
          <w:trHeight w:val="253"/>
        </w:trPr>
        <w:tc>
          <w:tcPr>
            <w:tcW w:w="7371" w:type="dxa"/>
            <w:shd w:val="clear" w:color="auto" w:fill="FDE9D9" w:themeFill="accent6" w:themeFillTint="33"/>
            <w:vAlign w:val="center"/>
          </w:tcPr>
          <w:p w:rsidR="00BB4189" w:rsidRPr="00D64F1A" w:rsidRDefault="00BB4189" w:rsidP="00946C0B">
            <w:pPr>
              <w:spacing w:line="240" w:lineRule="auto"/>
              <w:rPr>
                <w:rFonts w:asciiTheme="majorHAnsi" w:hAnsiTheme="majorHAnsi"/>
                <w:szCs w:val="24"/>
              </w:rPr>
            </w:pPr>
            <w:r w:rsidRPr="00BB4189">
              <w:rPr>
                <w:rFonts w:asciiTheme="majorHAnsi" w:hAnsiTheme="majorHAnsi"/>
                <w:b/>
                <w:sz w:val="32"/>
                <w:szCs w:val="24"/>
              </w:rPr>
              <w:t xml:space="preserve">UYGUNLUK KONTROL LİSTESİ </w:t>
            </w:r>
            <w:r w:rsidRPr="00D64F1A">
              <w:rPr>
                <w:rFonts w:asciiTheme="majorHAnsi" w:hAnsiTheme="majorHAnsi"/>
                <w:szCs w:val="24"/>
              </w:rPr>
              <w:t xml:space="preserve">(Uygunluk Kontrol Listesindeki </w:t>
            </w:r>
            <w:proofErr w:type="gramStart"/>
            <w:r w:rsidRPr="00D64F1A">
              <w:rPr>
                <w:rFonts w:asciiTheme="majorHAnsi" w:hAnsiTheme="majorHAnsi"/>
                <w:szCs w:val="24"/>
              </w:rPr>
              <w:t>kriterlerden</w:t>
            </w:r>
            <w:proofErr w:type="gramEnd"/>
            <w:r w:rsidRPr="00D64F1A">
              <w:rPr>
                <w:rFonts w:asciiTheme="majorHAnsi" w:hAnsiTheme="majorHAnsi"/>
                <w:szCs w:val="24"/>
              </w:rPr>
              <w:t xml:space="preserve"> herhangi biri karşılanmıyorsa teknik destek başvurusu bu aşamadan sonra </w:t>
            </w:r>
            <w:r w:rsidRPr="00D64F1A">
              <w:rPr>
                <w:rFonts w:asciiTheme="majorHAnsi" w:hAnsiTheme="majorHAnsi"/>
                <w:szCs w:val="24"/>
                <w:u w:val="single"/>
              </w:rPr>
              <w:t>değerlendirilmeyecek ve reddedilecektir</w:t>
            </w:r>
            <w:r w:rsidRPr="00D64F1A">
              <w:rPr>
                <w:rFonts w:asciiTheme="majorHAnsi" w:hAnsiTheme="majorHAnsi"/>
                <w:szCs w:val="24"/>
              </w:rPr>
              <w:t>).</w:t>
            </w:r>
          </w:p>
        </w:tc>
        <w:tc>
          <w:tcPr>
            <w:tcW w:w="714" w:type="dxa"/>
            <w:shd w:val="clear" w:color="auto" w:fill="FDE9D9" w:themeFill="accent6" w:themeFillTint="33"/>
            <w:vAlign w:val="center"/>
          </w:tcPr>
          <w:p w:rsidR="00BB4189" w:rsidRPr="00D64F1A" w:rsidRDefault="00BB4189" w:rsidP="00946C0B">
            <w:pPr>
              <w:tabs>
                <w:tab w:val="left" w:pos="-284"/>
              </w:tabs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Evet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B4189" w:rsidRPr="00D64F1A" w:rsidRDefault="00BB4189" w:rsidP="00946C0B">
            <w:pPr>
              <w:tabs>
                <w:tab w:val="left" w:pos="-284"/>
              </w:tabs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Hayır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B4189" w:rsidRPr="00D64F1A" w:rsidRDefault="00BB4189" w:rsidP="00946C0B">
            <w:pPr>
              <w:tabs>
                <w:tab w:val="left" w:pos="-284"/>
              </w:tabs>
              <w:spacing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Gerekli Değil</w:t>
            </w: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vAlign w:val="center"/>
          </w:tcPr>
          <w:p w:rsidR="00BB4189" w:rsidRPr="00D31658" w:rsidRDefault="00BB4189" w:rsidP="00946C0B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D31658">
              <w:rPr>
                <w:rFonts w:asciiTheme="minorHAnsi" w:hAnsiTheme="minorHAnsi"/>
                <w:sz w:val="24"/>
                <w:szCs w:val="24"/>
                <w:lang w:val="tr-TR"/>
              </w:rPr>
              <w:t>Başvuru sahibi uygundur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(Başvuru Rehberi 2.1.1)</w:t>
            </w:r>
            <w:r w:rsidRPr="00D31658">
              <w:rPr>
                <w:rFonts w:asciiTheme="minorHAnsi" w:hAnsiTheme="minorHAnsi"/>
                <w:sz w:val="24"/>
                <w:szCs w:val="24"/>
                <w:lang w:val="tr-TR"/>
              </w:rPr>
              <w:t>.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vAlign w:val="center"/>
          </w:tcPr>
          <w:p w:rsidR="00BB4189" w:rsidRPr="00D90357" w:rsidRDefault="00BB4189" w:rsidP="00946C0B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D31658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Teknik destek süresi 1 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ay </w:t>
            </w:r>
            <w:r w:rsidRPr="00D31658">
              <w:rPr>
                <w:rFonts w:asciiTheme="minorHAnsi" w:hAnsiTheme="minorHAnsi"/>
                <w:sz w:val="24"/>
                <w:szCs w:val="24"/>
                <w:lang w:val="tr-TR"/>
              </w:rPr>
              <w:t>(bir) veya daha kısadır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(Başvuru Rehberi 2.1.3</w:t>
            </w: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>).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vAlign w:val="center"/>
          </w:tcPr>
          <w:p w:rsidR="00BB4189" w:rsidRPr="00B8461E" w:rsidRDefault="00BB4189" w:rsidP="00946C0B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2013 yılı içerisinde b</w:t>
            </w:r>
            <w:r w:rsidRPr="00B8461E">
              <w:rPr>
                <w:rFonts w:asciiTheme="minorHAnsi" w:hAnsiTheme="minorHAnsi"/>
                <w:sz w:val="24"/>
                <w:szCs w:val="24"/>
                <w:lang w:val="tr-TR"/>
              </w:rPr>
              <w:t>ir başvuru sahibi bir dönem içinde en fazla bir, yılı içinde ise en fazla iki proje için destek başvurusunda bulunmuştur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(Başvuru Rehberi 2.1.3 (Özel Düzenlemeler))</w:t>
            </w:r>
            <w:r w:rsidRPr="00B8461E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shd w:val="clear" w:color="auto" w:fill="FDE9D9" w:themeFill="accent6" w:themeFillTint="33"/>
            <w:vAlign w:val="center"/>
          </w:tcPr>
          <w:p w:rsidR="00BB4189" w:rsidRPr="00D64F1A" w:rsidRDefault="00BB4189" w:rsidP="00946C0B">
            <w:pPr>
              <w:spacing w:line="240" w:lineRule="auto"/>
              <w:rPr>
                <w:rFonts w:asciiTheme="majorHAnsi" w:hAnsiTheme="majorHAnsi"/>
                <w:b/>
                <w:szCs w:val="24"/>
              </w:rPr>
            </w:pPr>
            <w:r w:rsidRPr="00BB4189">
              <w:rPr>
                <w:rFonts w:asciiTheme="majorHAnsi" w:hAnsiTheme="majorHAnsi"/>
                <w:b/>
                <w:sz w:val="32"/>
                <w:szCs w:val="24"/>
              </w:rPr>
              <w:t xml:space="preserve">İDARİ KONTROL LİSTESİ </w:t>
            </w:r>
            <w:proofErr w:type="gramStart"/>
            <w:r w:rsidRPr="00D64F1A">
              <w:rPr>
                <w:rFonts w:asciiTheme="majorHAnsi" w:hAnsiTheme="majorHAnsi"/>
                <w:szCs w:val="24"/>
              </w:rPr>
              <w:t>(</w:t>
            </w:r>
            <w:proofErr w:type="gramEnd"/>
            <w:r w:rsidRPr="00D64F1A">
              <w:rPr>
                <w:rFonts w:asciiTheme="majorHAnsi" w:hAnsiTheme="majorHAnsi"/>
                <w:szCs w:val="24"/>
              </w:rPr>
              <w:t>Uygunluk Kontrol Listesindeki kriterlerden herhangi birine eksiklik bulunması halinde 5 (beş) iş günü içerisinde tamamlanması gerekir.  Tamamlanmadığı takdirde Teknik Destek başvurusu reddedilecektir</w:t>
            </w:r>
            <w:proofErr w:type="gramStart"/>
            <w:r w:rsidRPr="00D64F1A">
              <w:rPr>
                <w:rFonts w:asciiTheme="majorHAnsi" w:hAnsiTheme="majorHAnsi"/>
                <w:szCs w:val="24"/>
              </w:rPr>
              <w:t>)</w:t>
            </w:r>
            <w:proofErr w:type="gramEnd"/>
            <w:r w:rsidRPr="00D64F1A">
              <w:rPr>
                <w:rFonts w:asciiTheme="majorHAnsi" w:hAnsiTheme="majorHAnsi"/>
                <w:szCs w:val="24"/>
              </w:rPr>
              <w:t>.</w:t>
            </w:r>
          </w:p>
        </w:tc>
        <w:tc>
          <w:tcPr>
            <w:tcW w:w="714" w:type="dxa"/>
            <w:shd w:val="clear" w:color="auto" w:fill="FDE9D9" w:themeFill="accent6" w:themeFillTint="33"/>
            <w:vAlign w:val="center"/>
          </w:tcPr>
          <w:p w:rsidR="00BB4189" w:rsidRPr="00D64F1A" w:rsidRDefault="00BB4189" w:rsidP="00946C0B">
            <w:pPr>
              <w:tabs>
                <w:tab w:val="left" w:pos="-284"/>
              </w:tabs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Evet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B4189" w:rsidRPr="00D64F1A" w:rsidRDefault="00BB4189" w:rsidP="00946C0B">
            <w:pPr>
              <w:tabs>
                <w:tab w:val="left" w:pos="-284"/>
              </w:tabs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Hayır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B4189" w:rsidRPr="00D64F1A" w:rsidRDefault="00BB4189" w:rsidP="00946C0B">
            <w:pPr>
              <w:tabs>
                <w:tab w:val="left" w:pos="-284"/>
              </w:tabs>
              <w:spacing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D64F1A">
              <w:rPr>
                <w:rFonts w:asciiTheme="majorHAnsi" w:hAnsiTheme="majorHAnsi"/>
                <w:b/>
                <w:szCs w:val="24"/>
              </w:rPr>
              <w:t>Gerekli Değil</w:t>
            </w: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vAlign w:val="center"/>
          </w:tcPr>
          <w:p w:rsidR="00BB4189" w:rsidRPr="008F0064" w:rsidRDefault="00BB4189" w:rsidP="00946C0B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inorHAnsi" w:eastAsiaTheme="minorHAnsi" w:hAnsiTheme="minorHAnsi" w:cs="Verdana"/>
                <w:color w:val="000000"/>
                <w:sz w:val="24"/>
                <w:lang w:val="tr-TR"/>
              </w:rPr>
            </w:pPr>
            <w:r w:rsidRPr="00D31658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Teknik Destek Başvurusu 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2013 yılı </w:t>
            </w:r>
            <w:r w:rsidRPr="00D31658">
              <w:rPr>
                <w:rFonts w:asciiTheme="minorHAnsi" w:hAnsiTheme="minorHAnsi"/>
                <w:sz w:val="24"/>
                <w:szCs w:val="24"/>
                <w:lang w:val="tr-TR"/>
              </w:rPr>
              <w:t>Teknik Destek Talep Formu standart formatına göre hazırlanmıştır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>.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vAlign w:val="center"/>
          </w:tcPr>
          <w:p w:rsidR="00BB4189" w:rsidRPr="008F0064" w:rsidRDefault="00BB4189" w:rsidP="00946C0B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8F0064">
              <w:rPr>
                <w:rFonts w:asciiTheme="minorHAnsi" w:eastAsiaTheme="minorHAnsi" w:hAnsiTheme="minorHAnsi" w:cs="Verdana"/>
                <w:color w:val="000000"/>
                <w:sz w:val="24"/>
                <w:lang w:val="tr-TR"/>
              </w:rPr>
              <w:t xml:space="preserve">Başvuru belgeleri </w:t>
            </w:r>
            <w:r w:rsidRPr="008F0064">
              <w:rPr>
                <w:rFonts w:asciiTheme="minorHAnsi" w:eastAsiaTheme="minorHAnsi" w:hAnsiTheme="minorHAnsi" w:cs="Verdana,Bold"/>
                <w:b/>
                <w:bCs/>
                <w:color w:val="000000"/>
                <w:sz w:val="24"/>
                <w:lang w:val="tr-TR"/>
              </w:rPr>
              <w:t xml:space="preserve">1 (bir) asıl </w:t>
            </w:r>
            <w:r w:rsidRPr="008F0064">
              <w:rPr>
                <w:rFonts w:asciiTheme="minorHAnsi" w:eastAsiaTheme="minorHAnsi" w:hAnsiTheme="minorHAnsi" w:cs="Verdana"/>
                <w:color w:val="000000"/>
                <w:sz w:val="24"/>
                <w:lang w:val="tr-TR"/>
              </w:rPr>
              <w:t xml:space="preserve">ve </w:t>
            </w:r>
            <w:r w:rsidRPr="008F0064">
              <w:rPr>
                <w:rFonts w:asciiTheme="minorHAnsi" w:eastAsiaTheme="minorHAnsi" w:hAnsiTheme="minorHAnsi" w:cs="Verdana,Bold"/>
                <w:b/>
                <w:bCs/>
                <w:color w:val="000000"/>
                <w:sz w:val="24"/>
                <w:lang w:val="tr-TR"/>
              </w:rPr>
              <w:t xml:space="preserve">2 (iki) suret </w:t>
            </w:r>
            <w:r w:rsidRPr="008F0064">
              <w:rPr>
                <w:rFonts w:asciiTheme="minorHAnsi" w:eastAsiaTheme="minorHAnsi" w:hAnsiTheme="minorHAnsi" w:cs="Verdana"/>
                <w:color w:val="000000"/>
                <w:sz w:val="24"/>
                <w:lang w:val="tr-TR"/>
              </w:rPr>
              <w:t xml:space="preserve">halinde hazırlanmış; asıl belgeler </w:t>
            </w:r>
            <w:r w:rsidRPr="008F0064">
              <w:rPr>
                <w:rFonts w:asciiTheme="minorHAnsi" w:eastAsiaTheme="minorHAnsi" w:hAnsiTheme="minorHAnsi" w:cs="Verdana,Bold"/>
                <w:b/>
                <w:bCs/>
                <w:color w:val="FF0000"/>
                <w:sz w:val="24"/>
                <w:lang w:val="tr-TR"/>
              </w:rPr>
              <w:t>BİR KIRMIZI DOSYA</w:t>
            </w:r>
            <w:r w:rsidRPr="008F0064">
              <w:rPr>
                <w:rFonts w:asciiTheme="minorHAnsi" w:eastAsiaTheme="minorHAnsi" w:hAnsiTheme="minorHAnsi" w:cs="Verdana"/>
                <w:color w:val="000000"/>
                <w:sz w:val="24"/>
                <w:lang w:val="tr-TR"/>
              </w:rPr>
              <w:t xml:space="preserve">, suretler ise </w:t>
            </w:r>
            <w:r w:rsidRPr="008F0064">
              <w:rPr>
                <w:rFonts w:asciiTheme="minorHAnsi" w:eastAsiaTheme="minorHAnsi" w:hAnsiTheme="minorHAnsi" w:cs="Verdana,Bold"/>
                <w:b/>
                <w:bCs/>
                <w:color w:val="0070C1"/>
                <w:sz w:val="24"/>
                <w:lang w:val="tr-TR"/>
              </w:rPr>
              <w:t xml:space="preserve">İKİ MAVİ DOSYA </w:t>
            </w:r>
            <w:r w:rsidRPr="008F0064">
              <w:rPr>
                <w:rFonts w:asciiTheme="minorHAnsi" w:eastAsiaTheme="minorHAnsi" w:hAnsiTheme="minorHAnsi" w:cs="Verdana"/>
                <w:color w:val="000000"/>
                <w:sz w:val="24"/>
                <w:lang w:val="tr-TR"/>
              </w:rPr>
              <w:t xml:space="preserve">olarak ve tüm dosyalar </w:t>
            </w:r>
            <w:r w:rsidRPr="008F0064">
              <w:rPr>
                <w:rFonts w:asciiTheme="minorHAnsi" w:eastAsiaTheme="minorHAnsi" w:hAnsiTheme="minorHAnsi" w:cs="Verdana,Bold"/>
                <w:b/>
                <w:bCs/>
                <w:color w:val="000000" w:themeColor="text1"/>
                <w:sz w:val="24"/>
                <w:lang w:val="tr-TR"/>
              </w:rPr>
              <w:t>kapalı zarf</w:t>
            </w:r>
            <w:r w:rsidRPr="008F0064">
              <w:rPr>
                <w:rFonts w:asciiTheme="minorHAnsi" w:eastAsiaTheme="minorHAnsi" w:hAnsiTheme="minorHAnsi" w:cs="Verdana,Bold"/>
                <w:b/>
                <w:bCs/>
                <w:color w:val="0070C1"/>
                <w:sz w:val="24"/>
                <w:lang w:val="tr-TR"/>
              </w:rPr>
              <w:t xml:space="preserve"> </w:t>
            </w:r>
            <w:r w:rsidRPr="008F0064">
              <w:rPr>
                <w:rFonts w:asciiTheme="minorHAnsi" w:eastAsiaTheme="minorHAnsi" w:hAnsiTheme="minorHAnsi" w:cs="Verdana"/>
                <w:color w:val="000000"/>
                <w:sz w:val="24"/>
                <w:lang w:val="tr-TR"/>
              </w:rPr>
              <w:t>içerisinde teslim edilmiştir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vAlign w:val="center"/>
          </w:tcPr>
          <w:p w:rsidR="00BB4189" w:rsidRPr="003D7647" w:rsidRDefault="00BB4189" w:rsidP="00946C0B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3D7647">
              <w:rPr>
                <w:rFonts w:asciiTheme="minorHAnsi" w:hAnsiTheme="minorHAnsi"/>
                <w:sz w:val="24"/>
                <w:szCs w:val="24"/>
                <w:lang w:val="tr-TR"/>
              </w:rPr>
              <w:t>Üç matbu kopya birbirinin aynıdır ve CD, matbu kopyalarla aynı bilgileri içermektedir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>.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shd w:val="clear" w:color="auto" w:fill="auto"/>
            <w:vAlign w:val="center"/>
          </w:tcPr>
          <w:p w:rsidR="00BB4189" w:rsidRPr="00D90357" w:rsidRDefault="00BB4189" w:rsidP="00946C0B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>Başvuru sahibinin TR52 Düzey 2 Bölgesinde kayıtlı olduğunu gösteren belge sunulmuştur (TR52 Düzey 2 Bölgesindeki kamu kurum ve kuruluşları hariç).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shd w:val="clear" w:color="auto" w:fill="auto"/>
            <w:vAlign w:val="center"/>
          </w:tcPr>
          <w:p w:rsidR="00BB4189" w:rsidRPr="00D90357" w:rsidRDefault="00BB4189" w:rsidP="00946C0B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lastRenderedPageBreak/>
              <w:t xml:space="preserve">Başvuru Sahibinin temsil ve ilzama yetkili olduğunu gösterir imza sirküleri,  kurum/kuruluş tarafından onaylı tatbiki imza belgesi, yönetim kurulu kararı veya karar defteri örneğinden 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>bi</w:t>
            </w: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>ri sunulmuştur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(Kurum ve kuruluşun mahiyetine uygun olduğu şekilde)</w:t>
            </w: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>.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shd w:val="clear" w:color="auto" w:fill="auto"/>
            <w:vAlign w:val="center"/>
          </w:tcPr>
          <w:p w:rsidR="00BB4189" w:rsidRPr="00D90357" w:rsidRDefault="00BB4189" w:rsidP="00946C0B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318"/>
              <w:rPr>
                <w:rFonts w:ascii="Verdana" w:eastAsiaTheme="minorHAnsi" w:hAnsi="Verdana" w:cs="Verdana"/>
                <w:color w:val="000000"/>
                <w:sz w:val="20"/>
                <w:lang w:val="tr-TR"/>
              </w:rPr>
            </w:pPr>
            <w:r w:rsidRPr="00D90357">
              <w:rPr>
                <w:rFonts w:ascii="Verdana" w:eastAsiaTheme="minorHAnsi" w:hAnsi="Verdana" w:cs="Verdana"/>
                <w:color w:val="000000"/>
                <w:sz w:val="20"/>
                <w:lang w:val="tr-TR"/>
              </w:rPr>
              <w:t>Başvuru Sahibinin Beyannamesi, başvuru sahibinin yetkili/yasal temsilci(</w:t>
            </w:r>
            <w:proofErr w:type="spellStart"/>
            <w:r w:rsidRPr="00D90357">
              <w:rPr>
                <w:rFonts w:ascii="Verdana" w:eastAsiaTheme="minorHAnsi" w:hAnsi="Verdana" w:cs="Verdana"/>
                <w:color w:val="000000"/>
                <w:sz w:val="20"/>
                <w:lang w:val="tr-TR"/>
              </w:rPr>
              <w:t>ler</w:t>
            </w:r>
            <w:proofErr w:type="spellEnd"/>
            <w:r w:rsidRPr="00D90357">
              <w:rPr>
                <w:rFonts w:ascii="Verdana" w:eastAsiaTheme="minorHAnsi" w:hAnsi="Verdana" w:cs="Verdana"/>
                <w:color w:val="000000"/>
                <w:sz w:val="20"/>
                <w:lang w:val="tr-TR"/>
              </w:rPr>
              <w:t>)i tarafından imzalanmıştır.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shd w:val="clear" w:color="auto" w:fill="auto"/>
            <w:vAlign w:val="center"/>
          </w:tcPr>
          <w:p w:rsidR="00BB4189" w:rsidRPr="00D90357" w:rsidRDefault="00BB4189" w:rsidP="00946C0B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>Talep edilen Teknik Destek konusu (PCM Eğitimi hariç) ile ilgili teknik şartname, en az 3 (üç) fiyat teklifi ve uzman özgeçmiş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>(</w:t>
            </w:r>
            <w:proofErr w:type="spellStart"/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>ler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>)</w:t>
            </w: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>i sunulmuştur.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shd w:val="clear" w:color="auto" w:fill="auto"/>
            <w:vAlign w:val="center"/>
          </w:tcPr>
          <w:p w:rsidR="00BB4189" w:rsidRPr="00D90357" w:rsidRDefault="00BB4189" w:rsidP="00946C0B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>Talep edilen Teknik Destek konusu (PCM Eğitimi hariç) ile ilgili teknik şartnameler fiyat tekli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>fini veren firmalar tarafından i</w:t>
            </w: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>mzalanmış ve her sayfası paraflanmıştır.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B4189" w:rsidRPr="00D31658" w:rsidTr="00BB4189">
        <w:trPr>
          <w:cantSplit/>
          <w:trHeight w:val="397"/>
        </w:trPr>
        <w:tc>
          <w:tcPr>
            <w:tcW w:w="7371" w:type="dxa"/>
            <w:shd w:val="clear" w:color="auto" w:fill="auto"/>
            <w:vAlign w:val="center"/>
          </w:tcPr>
          <w:p w:rsidR="00BB4189" w:rsidRPr="00D90357" w:rsidRDefault="00BB4189" w:rsidP="00946C0B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D90357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Sunulan Yaklaşık Maliyet Formu başvuru sahibi tarafından imzalanmıştır.  </w:t>
            </w:r>
          </w:p>
        </w:tc>
        <w:tc>
          <w:tcPr>
            <w:tcW w:w="714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:rsidR="00BB4189" w:rsidRPr="00D31658" w:rsidRDefault="00BB4189" w:rsidP="00946C0B">
            <w:pPr>
              <w:tabs>
                <w:tab w:val="left" w:pos="-284"/>
              </w:tabs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</w:tbl>
    <w:p w:rsidR="00BB4189" w:rsidRDefault="00BB4189" w:rsidP="007F2CEA">
      <w:pPr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tr-TR"/>
        </w:rPr>
      </w:pPr>
    </w:p>
    <w:p w:rsidR="007F2CEA" w:rsidRDefault="007F2CEA" w:rsidP="007F2CEA"/>
    <w:p w:rsidR="007F2CEA" w:rsidRDefault="007F2CEA" w:rsidP="007F2CEA">
      <w:pPr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tr-TR"/>
        </w:rPr>
      </w:pPr>
    </w:p>
    <w:sectPr w:rsidR="007F2CEA" w:rsidSect="00BB4189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Verdana,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E523B"/>
    <w:multiLevelType w:val="hybridMultilevel"/>
    <w:tmpl w:val="EC58A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06D44"/>
    <w:multiLevelType w:val="hybridMultilevel"/>
    <w:tmpl w:val="A23EA3F4"/>
    <w:lvl w:ilvl="0" w:tplc="682E0B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85817"/>
    <w:multiLevelType w:val="hybridMultilevel"/>
    <w:tmpl w:val="51883464"/>
    <w:lvl w:ilvl="0" w:tplc="682E0B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CEA"/>
    <w:rsid w:val="00065ADA"/>
    <w:rsid w:val="002C293A"/>
    <w:rsid w:val="004D44DC"/>
    <w:rsid w:val="00650E2E"/>
    <w:rsid w:val="00796E53"/>
    <w:rsid w:val="007F2CEA"/>
    <w:rsid w:val="00892F6F"/>
    <w:rsid w:val="00946C0B"/>
    <w:rsid w:val="009A3915"/>
    <w:rsid w:val="00B71A35"/>
    <w:rsid w:val="00BB4189"/>
    <w:rsid w:val="00D62C12"/>
    <w:rsid w:val="00D919E6"/>
    <w:rsid w:val="00F7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F2CEA"/>
    <w:rPr>
      <w:b/>
      <w:bCs/>
    </w:rPr>
  </w:style>
  <w:style w:type="character" w:styleId="Vurgu">
    <w:name w:val="Emphasis"/>
    <w:basedOn w:val="VarsaylanParagrafYazTipi"/>
    <w:uiPriority w:val="20"/>
    <w:qFormat/>
    <w:rsid w:val="007F2CEA"/>
    <w:rPr>
      <w:i/>
      <w:iCs/>
    </w:rPr>
  </w:style>
  <w:style w:type="paragraph" w:styleId="GvdeMetni2">
    <w:name w:val="Body Text 2"/>
    <w:basedOn w:val="Normal"/>
    <w:link w:val="GvdeMetni2Char"/>
    <w:rsid w:val="007F2CEA"/>
    <w:pPr>
      <w:framePr w:hSpace="180" w:wrap="around" w:vAnchor="page" w:hAnchor="margin" w:xAlign="center" w:y="1419"/>
      <w:tabs>
        <w:tab w:val="left" w:pos="-284"/>
      </w:tabs>
      <w:spacing w:after="0" w:line="240" w:lineRule="exact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7F2CEA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ListeParagraf">
    <w:name w:val="List Paragraph"/>
    <w:basedOn w:val="Normal"/>
    <w:uiPriority w:val="34"/>
    <w:qFormat/>
    <w:rsid w:val="007F2CEA"/>
    <w:pPr>
      <w:widowControl w:val="0"/>
      <w:adjustRightInd w:val="0"/>
      <w:spacing w:after="0" w:line="360" w:lineRule="atLeast"/>
      <w:ind w:left="720"/>
      <w:jc w:val="both"/>
      <w:textAlignment w:val="baseline"/>
    </w:pPr>
    <w:rPr>
      <w:rFonts w:ascii="Arial" w:eastAsia="Times New Roman" w:hAnsi="Arial" w:cs="Arial"/>
      <w:sz w:val="22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F2CEA"/>
    <w:pPr>
      <w:spacing w:after="0" w:line="240" w:lineRule="auto"/>
    </w:pPr>
  </w:style>
  <w:style w:type="paragraph" w:customStyle="1" w:styleId="Default">
    <w:name w:val="Default"/>
    <w:rsid w:val="007F2C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71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1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7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3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3777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086533111">
                  <w:marLeft w:val="720"/>
                  <w:marRight w:val="0"/>
                  <w:marTop w:val="3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140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59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211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675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687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126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698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860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98831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02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188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95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00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24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30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15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963">
              <w:marLeft w:val="10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8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5532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959411413">
                  <w:marLeft w:val="720"/>
                  <w:marRight w:val="0"/>
                  <w:marTop w:val="3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6691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691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54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35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234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900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62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307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98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881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85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24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95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751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298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40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237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cakan.tanidik</dc:creator>
  <cp:lastModifiedBy>cakan.tanidik</cp:lastModifiedBy>
  <cp:revision>1</cp:revision>
  <dcterms:created xsi:type="dcterms:W3CDTF">2013-07-18T14:21:00Z</dcterms:created>
  <dcterms:modified xsi:type="dcterms:W3CDTF">2013-07-18T14:43:00Z</dcterms:modified>
</cp:coreProperties>
</file>